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012B" w14:textId="1D72C90A" w:rsidR="00550573" w:rsidRDefault="00550573" w:rsidP="00550573">
      <w:pPr>
        <w:jc w:val="center"/>
        <w:rPr>
          <w:b/>
          <w:bCs/>
        </w:rPr>
      </w:pPr>
      <w:r>
        <w:rPr>
          <w:b/>
          <w:bCs/>
        </w:rPr>
        <w:t>ASCC Arts and Humanities 1 Subcommittee</w:t>
      </w:r>
    </w:p>
    <w:p w14:paraId="5EB522D3" w14:textId="06A96CBB" w:rsidR="00550573" w:rsidRDefault="007124DE" w:rsidP="00550573">
      <w:pPr>
        <w:jc w:val="center"/>
      </w:pPr>
      <w:r>
        <w:t>Unapproved</w:t>
      </w:r>
      <w:r w:rsidR="00550573">
        <w:t xml:space="preserve"> Minutes</w:t>
      </w:r>
    </w:p>
    <w:p w14:paraId="264B383E" w14:textId="5E9455ED" w:rsidR="00550573" w:rsidRDefault="00550573" w:rsidP="00550573">
      <w:r>
        <w:t>Tuesday, April 29</w:t>
      </w:r>
      <w:r w:rsidRPr="00550573">
        <w:rPr>
          <w:vertAlign w:val="superscript"/>
        </w:rPr>
        <w:t>th</w:t>
      </w:r>
      <w:r>
        <w:t xml:space="preserve">, </w:t>
      </w:r>
      <w:proofErr w:type="gramStart"/>
      <w:r>
        <w:t>2025</w:t>
      </w:r>
      <w:proofErr w:type="gramEnd"/>
      <w:r>
        <w:tab/>
      </w:r>
      <w:r>
        <w:tab/>
      </w:r>
      <w:r>
        <w:tab/>
      </w:r>
      <w:r>
        <w:tab/>
      </w:r>
      <w:r>
        <w:tab/>
      </w:r>
      <w:r>
        <w:tab/>
        <w:t xml:space="preserve">                    11:30AM – 1:00PM</w:t>
      </w:r>
    </w:p>
    <w:p w14:paraId="5BE4B68B" w14:textId="3D21C019" w:rsidR="00550573" w:rsidRDefault="00550573" w:rsidP="00550573">
      <w:proofErr w:type="spellStart"/>
      <w:r>
        <w:t>CarmenZoom</w:t>
      </w:r>
      <w:proofErr w:type="spellEnd"/>
    </w:p>
    <w:p w14:paraId="103DF076" w14:textId="77777777" w:rsidR="00550573" w:rsidRDefault="00550573" w:rsidP="00550573"/>
    <w:p w14:paraId="056C6A05" w14:textId="09F21DFD" w:rsidR="00550573" w:rsidRDefault="00550573" w:rsidP="00550573">
      <w:r>
        <w:rPr>
          <w:b/>
          <w:bCs/>
        </w:rPr>
        <w:t xml:space="preserve">Attendees: </w:t>
      </w:r>
      <w:r>
        <w:t>Beecher, Bitters, Dugdale, Hedgecoth, Hilty, Mick, Troyan, Vankeerbergen</w:t>
      </w:r>
    </w:p>
    <w:p w14:paraId="2FB927DF" w14:textId="77777777" w:rsidR="00550573" w:rsidRDefault="00550573" w:rsidP="00550573"/>
    <w:p w14:paraId="1D0526F2" w14:textId="73C22380" w:rsidR="00550573" w:rsidRDefault="00550573" w:rsidP="00550573">
      <w:pPr>
        <w:pStyle w:val="ListParagraph"/>
        <w:numPr>
          <w:ilvl w:val="0"/>
          <w:numId w:val="1"/>
        </w:numPr>
      </w:pPr>
      <w:r>
        <w:t>Approval of 04/15/2025 Minutes</w:t>
      </w:r>
    </w:p>
    <w:p w14:paraId="118C3528" w14:textId="2DCA9C0D" w:rsidR="00550573" w:rsidRDefault="00550573" w:rsidP="00550573">
      <w:pPr>
        <w:pStyle w:val="ListParagraph"/>
        <w:numPr>
          <w:ilvl w:val="1"/>
          <w:numId w:val="1"/>
        </w:numPr>
      </w:pPr>
      <w:r>
        <w:t xml:space="preserve">Hedgecoth, Beecher, </w:t>
      </w:r>
      <w:r>
        <w:rPr>
          <w:b/>
          <w:bCs/>
        </w:rPr>
        <w:t xml:space="preserve">unanimously approved </w:t>
      </w:r>
    </w:p>
    <w:p w14:paraId="0BA4052C" w14:textId="662C3953" w:rsidR="00550573" w:rsidRDefault="00550573" w:rsidP="00550573">
      <w:pPr>
        <w:pStyle w:val="ListParagraph"/>
        <w:numPr>
          <w:ilvl w:val="0"/>
          <w:numId w:val="1"/>
        </w:numPr>
      </w:pPr>
      <w:r>
        <w:t xml:space="preserve">English 3306 (new course with 100% DL) </w:t>
      </w:r>
    </w:p>
    <w:p w14:paraId="73DF03A3" w14:textId="49B4BEA0" w:rsidR="00550573" w:rsidRPr="00550573" w:rsidRDefault="00550573" w:rsidP="00550573">
      <w:pPr>
        <w:pStyle w:val="ListParagraph"/>
        <w:numPr>
          <w:ilvl w:val="1"/>
          <w:numId w:val="1"/>
        </w:numPr>
      </w:pPr>
      <w:r>
        <w:t xml:space="preserve">The Subcommittee noted that there were updates to programs housed within the Department of English </w:t>
      </w:r>
      <w:proofErr w:type="gramStart"/>
      <w:r>
        <w:t>as a result of</w:t>
      </w:r>
      <w:proofErr w:type="gramEnd"/>
      <w:r>
        <w:t xml:space="preserve"> the creation of this new course. They ask that the department reach out to Rachel Steele.682, Curriculum and Assessment Program Manager, to implement any changes to programs within the department. </w:t>
      </w:r>
    </w:p>
    <w:p w14:paraId="2885AC59" w14:textId="4505356A" w:rsidR="00550573" w:rsidRPr="00550573" w:rsidRDefault="00550573" w:rsidP="00550573">
      <w:pPr>
        <w:pStyle w:val="ListParagraph"/>
        <w:numPr>
          <w:ilvl w:val="1"/>
          <w:numId w:val="1"/>
        </w:numPr>
      </w:pPr>
      <w:r>
        <w:rPr>
          <w:b/>
          <w:bCs/>
        </w:rPr>
        <w:t xml:space="preserve">The Subcommittee asks that the department seek concurrence with the College of Engineering. The contact for the College of Engineering is David Tomasko.1. </w:t>
      </w:r>
    </w:p>
    <w:p w14:paraId="38B14466" w14:textId="2671553D" w:rsidR="00550573" w:rsidRPr="00550573" w:rsidRDefault="00550573" w:rsidP="00550573">
      <w:pPr>
        <w:pStyle w:val="ListParagraph"/>
        <w:numPr>
          <w:ilvl w:val="1"/>
          <w:numId w:val="1"/>
        </w:numPr>
      </w:pPr>
      <w:r>
        <w:rPr>
          <w:i/>
          <w:iCs/>
        </w:rPr>
        <w:t xml:space="preserve">The Subcommittee recommends updating the following syllabus statement (which can be found on the </w:t>
      </w:r>
      <w:hyperlink r:id="rId5" w:history="1">
        <w:r w:rsidRPr="00550573">
          <w:rPr>
            <w:rStyle w:val="Hyperlink"/>
            <w:i/>
            <w:iCs/>
          </w:rPr>
          <w:t>ASC Curriculum and Assessment Services website</w:t>
        </w:r>
      </w:hyperlink>
      <w:r>
        <w:rPr>
          <w:i/>
          <w:iCs/>
        </w:rPr>
        <w:t xml:space="preserve">): </w:t>
      </w:r>
    </w:p>
    <w:p w14:paraId="05A57CCC" w14:textId="7463744B" w:rsidR="00550573" w:rsidRPr="007124DE" w:rsidRDefault="00550573" w:rsidP="00550573">
      <w:pPr>
        <w:pStyle w:val="ListParagraph"/>
        <w:numPr>
          <w:ilvl w:val="2"/>
          <w:numId w:val="1"/>
        </w:numPr>
      </w:pPr>
      <w:r>
        <w:rPr>
          <w:i/>
          <w:iCs/>
        </w:rPr>
        <w:t>Religious Accommodations (pages 8-9)</w:t>
      </w:r>
    </w:p>
    <w:p w14:paraId="127834EF" w14:textId="1766539E" w:rsidR="007124DE" w:rsidRPr="007124DE" w:rsidRDefault="007124DE" w:rsidP="00550573">
      <w:pPr>
        <w:pStyle w:val="ListParagraph"/>
        <w:numPr>
          <w:ilvl w:val="2"/>
          <w:numId w:val="1"/>
        </w:numPr>
      </w:pPr>
      <w:r>
        <w:rPr>
          <w:i/>
          <w:iCs/>
        </w:rPr>
        <w:t xml:space="preserve">Diversity Statement (pages 9-10) </w:t>
      </w:r>
    </w:p>
    <w:p w14:paraId="7A4E4268" w14:textId="379CF96C" w:rsidR="007124DE" w:rsidRPr="00550573" w:rsidRDefault="007124DE" w:rsidP="00550573">
      <w:pPr>
        <w:pStyle w:val="ListParagraph"/>
        <w:numPr>
          <w:ilvl w:val="2"/>
          <w:numId w:val="1"/>
        </w:numPr>
      </w:pPr>
      <w:r>
        <w:rPr>
          <w:i/>
          <w:iCs/>
        </w:rPr>
        <w:t xml:space="preserve">Land Acknowledgment (page 10) (With the closure of the Center for Belonging and Social Change, the link provided is broken. Additional information on land acknowledgements can be found </w:t>
      </w:r>
      <w:hyperlink r:id="rId6" w:history="1">
        <w:r w:rsidRPr="007124DE">
          <w:rPr>
            <w:rStyle w:val="Hyperlink"/>
            <w:i/>
            <w:iCs/>
          </w:rPr>
          <w:t>here</w:t>
        </w:r>
      </w:hyperlink>
      <w:r>
        <w:rPr>
          <w:i/>
          <w:iCs/>
        </w:rPr>
        <w:t xml:space="preserve">.)  </w:t>
      </w:r>
    </w:p>
    <w:p w14:paraId="7F41D3D7" w14:textId="023ECA96" w:rsidR="00550573" w:rsidRDefault="00550573" w:rsidP="00550573">
      <w:pPr>
        <w:pStyle w:val="ListParagraph"/>
        <w:numPr>
          <w:ilvl w:val="1"/>
          <w:numId w:val="1"/>
        </w:numPr>
      </w:pPr>
      <w:r>
        <w:t xml:space="preserve">Hedgecoth, Beecher, </w:t>
      </w:r>
      <w:r>
        <w:rPr>
          <w:b/>
          <w:bCs/>
        </w:rPr>
        <w:t xml:space="preserve">unanimously approved </w:t>
      </w:r>
      <w:r>
        <w:t xml:space="preserve">with one comment and </w:t>
      </w:r>
      <w:r>
        <w:rPr>
          <w:b/>
          <w:bCs/>
        </w:rPr>
        <w:t xml:space="preserve">one contingency </w:t>
      </w:r>
      <w:r>
        <w:t xml:space="preserve">(in bold above) and </w:t>
      </w:r>
      <w:r>
        <w:rPr>
          <w:i/>
          <w:iCs/>
        </w:rPr>
        <w:t xml:space="preserve">one recommendation </w:t>
      </w:r>
      <w:r>
        <w:t xml:space="preserve">(in italics above) </w:t>
      </w:r>
    </w:p>
    <w:p w14:paraId="2CA686C0" w14:textId="322FD01E" w:rsidR="00550573" w:rsidRDefault="00550573" w:rsidP="00550573">
      <w:pPr>
        <w:pStyle w:val="ListParagraph"/>
        <w:numPr>
          <w:ilvl w:val="0"/>
          <w:numId w:val="1"/>
        </w:numPr>
      </w:pPr>
      <w:r>
        <w:t xml:space="preserve">French 1198 (new course requesting 100% DL) </w:t>
      </w:r>
    </w:p>
    <w:p w14:paraId="64C08D70" w14:textId="43DB504A" w:rsidR="00550573" w:rsidRPr="00550573" w:rsidRDefault="00550573" w:rsidP="00550573">
      <w:pPr>
        <w:pStyle w:val="ListParagraph"/>
        <w:numPr>
          <w:ilvl w:val="1"/>
          <w:numId w:val="1"/>
        </w:numPr>
      </w:pPr>
      <w:r>
        <w:rPr>
          <w:i/>
          <w:iCs/>
        </w:rPr>
        <w:t xml:space="preserve">The Subcommittee noted, </w:t>
      </w:r>
      <w:r w:rsidR="00BA2C66" w:rsidRPr="00BA2C66">
        <w:rPr>
          <w:i/>
          <w:iCs/>
        </w:rPr>
        <w:t>in the “Credit hours and work expectations</w:t>
      </w:r>
      <w:r w:rsidR="00BA2C66">
        <w:t>”</w:t>
      </w:r>
      <w:r w:rsidR="00BA2C66" w:rsidRPr="00BA2C66">
        <w:rPr>
          <w:i/>
          <w:iCs/>
        </w:rPr>
        <w:t xml:space="preserve"> section</w:t>
      </w:r>
      <w:r w:rsidR="00BA2C66">
        <w:rPr>
          <w:i/>
          <w:iCs/>
        </w:rPr>
        <w:t xml:space="preserve"> (syllabus p. 3)</w:t>
      </w:r>
      <w:r w:rsidR="00BA2C66" w:rsidRPr="00BA2C66">
        <w:rPr>
          <w:i/>
          <w:iCs/>
        </w:rPr>
        <w:t xml:space="preserve">, there appears to be a discrepancy between the number of weekly hours described in the paragraph of text and in the bullet point breakdown. While the bullet points describe 6 hours per week, the paragraph </w:t>
      </w:r>
      <w:r w:rsidR="00EC36BF">
        <w:rPr>
          <w:i/>
          <w:iCs/>
        </w:rPr>
        <w:t>above it</w:t>
      </w:r>
      <w:r w:rsidR="00BA2C66" w:rsidRPr="00BA2C66">
        <w:rPr>
          <w:i/>
          <w:iCs/>
        </w:rPr>
        <w:t xml:space="preserve"> describes 5 hours per week ("students should expect 1 </w:t>
      </w:r>
      <w:r w:rsidR="00BA2C66" w:rsidRPr="00BA2C66">
        <w:rPr>
          <w:i/>
          <w:iCs/>
        </w:rPr>
        <w:lastRenderedPageBreak/>
        <w:t xml:space="preserve">hour per week of time spent on direct instruction...in addition to 4 hours of homework"). Please correct the paragraph of text so that it describes 6 hours, the correct number of hours for this course, </w:t>
      </w:r>
      <w:r w:rsidR="00EC36BF">
        <w:rPr>
          <w:i/>
          <w:iCs/>
        </w:rPr>
        <w:t>and</w:t>
      </w:r>
      <w:r w:rsidR="00BA2C66" w:rsidRPr="00BA2C66">
        <w:rPr>
          <w:i/>
          <w:iCs/>
        </w:rPr>
        <w:t xml:space="preserve"> is consistent with the bullet points below. </w:t>
      </w:r>
      <w:r>
        <w:rPr>
          <w:i/>
          <w:iCs/>
        </w:rPr>
        <w:t xml:space="preserve"> </w:t>
      </w:r>
      <w:r w:rsidR="00C614C5">
        <w:rPr>
          <w:i/>
          <w:iCs/>
        </w:rPr>
        <w:t>Also, please note that 2 hours of direct instruction per week should be clearly stated.</w:t>
      </w:r>
    </w:p>
    <w:p w14:paraId="63F68869" w14:textId="1146CFF7" w:rsidR="00550573" w:rsidRPr="00550573" w:rsidRDefault="00550573" w:rsidP="00550573">
      <w:pPr>
        <w:pStyle w:val="ListParagraph"/>
        <w:numPr>
          <w:ilvl w:val="1"/>
          <w:numId w:val="1"/>
        </w:numPr>
      </w:pPr>
      <w:r>
        <w:rPr>
          <w:i/>
          <w:iCs/>
        </w:rPr>
        <w:t xml:space="preserve">The Subcommittee recommends updating the following syllabus statements (which can be found on the </w:t>
      </w:r>
      <w:hyperlink r:id="rId7" w:history="1">
        <w:r w:rsidRPr="00550573">
          <w:rPr>
            <w:rStyle w:val="Hyperlink"/>
            <w:i/>
            <w:iCs/>
          </w:rPr>
          <w:t>ASC Curriculum and Assessment Services website</w:t>
        </w:r>
      </w:hyperlink>
      <w:r>
        <w:rPr>
          <w:i/>
          <w:iCs/>
        </w:rPr>
        <w:t xml:space="preserve">): </w:t>
      </w:r>
    </w:p>
    <w:p w14:paraId="3F8F1131" w14:textId="5EC3D425" w:rsidR="00550573" w:rsidRPr="00550573" w:rsidRDefault="00550573" w:rsidP="00550573">
      <w:pPr>
        <w:pStyle w:val="ListParagraph"/>
        <w:numPr>
          <w:ilvl w:val="2"/>
          <w:numId w:val="1"/>
        </w:numPr>
      </w:pPr>
      <w:r>
        <w:rPr>
          <w:i/>
          <w:iCs/>
        </w:rPr>
        <w:t>Mental Health (page 11)</w:t>
      </w:r>
    </w:p>
    <w:p w14:paraId="57737977" w14:textId="7C36EB16" w:rsidR="00550573" w:rsidRPr="007124DE" w:rsidRDefault="00550573" w:rsidP="00550573">
      <w:pPr>
        <w:pStyle w:val="ListParagraph"/>
        <w:numPr>
          <w:ilvl w:val="2"/>
          <w:numId w:val="1"/>
        </w:numPr>
      </w:pPr>
      <w:r>
        <w:rPr>
          <w:i/>
          <w:iCs/>
        </w:rPr>
        <w:t xml:space="preserve">Diversity (page 12) </w:t>
      </w:r>
    </w:p>
    <w:p w14:paraId="7FD04922" w14:textId="1079E5AD" w:rsidR="007124DE" w:rsidRPr="00550573" w:rsidRDefault="007124DE" w:rsidP="007124DE">
      <w:pPr>
        <w:pStyle w:val="ListParagraph"/>
        <w:numPr>
          <w:ilvl w:val="2"/>
          <w:numId w:val="1"/>
        </w:numPr>
      </w:pPr>
      <w:r>
        <w:rPr>
          <w:i/>
          <w:iCs/>
        </w:rPr>
        <w:t xml:space="preserve">Land Acknowledgment </w:t>
      </w:r>
      <w:r>
        <w:rPr>
          <w:i/>
          <w:iCs/>
        </w:rPr>
        <w:t xml:space="preserve">(page 12) </w:t>
      </w:r>
      <w:r>
        <w:rPr>
          <w:i/>
          <w:iCs/>
        </w:rPr>
        <w:t xml:space="preserve">(With the closure of the Center for Belonging and Social Change, the link provided is broken. Additional information on land acknowledgements can be found </w:t>
      </w:r>
      <w:hyperlink r:id="rId8" w:history="1">
        <w:r w:rsidRPr="007124DE">
          <w:rPr>
            <w:rStyle w:val="Hyperlink"/>
            <w:i/>
            <w:iCs/>
          </w:rPr>
          <w:t>here</w:t>
        </w:r>
      </w:hyperlink>
      <w:r>
        <w:rPr>
          <w:i/>
          <w:iCs/>
        </w:rPr>
        <w:t xml:space="preserve">.)  </w:t>
      </w:r>
    </w:p>
    <w:p w14:paraId="43CE445C" w14:textId="5537539D" w:rsidR="00550573" w:rsidRPr="00550573" w:rsidRDefault="00550573" w:rsidP="00550573">
      <w:pPr>
        <w:pStyle w:val="ListParagraph"/>
        <w:numPr>
          <w:ilvl w:val="2"/>
          <w:numId w:val="1"/>
        </w:numPr>
      </w:pPr>
      <w:r>
        <w:rPr>
          <w:i/>
          <w:iCs/>
        </w:rPr>
        <w:t xml:space="preserve">Student Life – Disability Services (page 13) </w:t>
      </w:r>
    </w:p>
    <w:p w14:paraId="737F0E76" w14:textId="546A57CF" w:rsidR="00550573" w:rsidRDefault="00550573" w:rsidP="00550573">
      <w:pPr>
        <w:pStyle w:val="ListParagraph"/>
        <w:numPr>
          <w:ilvl w:val="1"/>
          <w:numId w:val="1"/>
        </w:numPr>
      </w:pPr>
      <w:r>
        <w:t xml:space="preserve">Beecher, Troyan, </w:t>
      </w:r>
      <w:r>
        <w:rPr>
          <w:b/>
          <w:bCs/>
        </w:rPr>
        <w:t xml:space="preserve">unanimously approved </w:t>
      </w:r>
      <w:r>
        <w:t xml:space="preserve">with </w:t>
      </w:r>
      <w:r>
        <w:rPr>
          <w:i/>
          <w:iCs/>
        </w:rPr>
        <w:t xml:space="preserve">two recommendations </w:t>
      </w:r>
      <w:r>
        <w:t xml:space="preserve">(in italics above) </w:t>
      </w:r>
    </w:p>
    <w:p w14:paraId="2FA0C581" w14:textId="7B0F3315" w:rsidR="00550573" w:rsidRDefault="00550573" w:rsidP="00550573">
      <w:pPr>
        <w:pStyle w:val="ListParagraph"/>
        <w:numPr>
          <w:ilvl w:val="0"/>
          <w:numId w:val="1"/>
        </w:numPr>
      </w:pPr>
      <w:r>
        <w:t xml:space="preserve">Ukrainian 1101, 1102, &amp; 1103 (new courses requesting GEN Foundation: World Languages) </w:t>
      </w:r>
    </w:p>
    <w:p w14:paraId="04A42CD0" w14:textId="763E27CF" w:rsidR="00550573" w:rsidRPr="00550573" w:rsidRDefault="00550573" w:rsidP="00550573">
      <w:pPr>
        <w:pStyle w:val="ListParagraph"/>
        <w:numPr>
          <w:ilvl w:val="1"/>
          <w:numId w:val="1"/>
        </w:numPr>
      </w:pPr>
      <w:r>
        <w:rPr>
          <w:b/>
          <w:bCs/>
        </w:rPr>
        <w:t>The Subcommittee ask</w:t>
      </w:r>
      <w:r w:rsidR="00EC36BF">
        <w:rPr>
          <w:b/>
          <w:bCs/>
        </w:rPr>
        <w:t>s</w:t>
      </w:r>
      <w:r>
        <w:rPr>
          <w:b/>
          <w:bCs/>
        </w:rPr>
        <w:t xml:space="preserve"> that the course descriptions in </w:t>
      </w:r>
      <w:r w:rsidR="00EC36BF">
        <w:rPr>
          <w:b/>
          <w:bCs/>
        </w:rPr>
        <w:t>all</w:t>
      </w:r>
      <w:r>
        <w:rPr>
          <w:b/>
          <w:bCs/>
        </w:rPr>
        <w:t xml:space="preserve"> </w:t>
      </w:r>
      <w:r w:rsidR="00EC36BF">
        <w:rPr>
          <w:b/>
          <w:bCs/>
        </w:rPr>
        <w:t xml:space="preserve">three </w:t>
      </w:r>
      <w:r>
        <w:rPr>
          <w:b/>
          <w:bCs/>
        </w:rPr>
        <w:t xml:space="preserve">syllabi be </w:t>
      </w:r>
      <w:r w:rsidR="00EC36BF">
        <w:rPr>
          <w:b/>
          <w:bCs/>
        </w:rPr>
        <w:t xml:space="preserve">revised </w:t>
      </w:r>
      <w:r>
        <w:rPr>
          <w:b/>
          <w:bCs/>
        </w:rPr>
        <w:t xml:space="preserve">to reflect the </w:t>
      </w:r>
      <w:r w:rsidR="00EC36BF">
        <w:rPr>
          <w:b/>
          <w:bCs/>
        </w:rPr>
        <w:t xml:space="preserve">specific </w:t>
      </w:r>
      <w:r>
        <w:rPr>
          <w:b/>
          <w:bCs/>
        </w:rPr>
        <w:t xml:space="preserve">content students will be learning in each course. </w:t>
      </w:r>
      <w:r w:rsidR="00EC36BF">
        <w:rPr>
          <w:b/>
          <w:bCs/>
        </w:rPr>
        <w:t>Currently</w:t>
      </w:r>
      <w:r>
        <w:rPr>
          <w:b/>
          <w:bCs/>
        </w:rPr>
        <w:t>, the course description</w:t>
      </w:r>
      <w:r w:rsidR="00EC36BF">
        <w:rPr>
          <w:b/>
          <w:bCs/>
        </w:rPr>
        <w:t>s</w:t>
      </w:r>
      <w:r>
        <w:rPr>
          <w:b/>
          <w:bCs/>
        </w:rPr>
        <w:t xml:space="preserve"> </w:t>
      </w:r>
      <w:r w:rsidR="00EC36BF">
        <w:rPr>
          <w:b/>
          <w:bCs/>
        </w:rPr>
        <w:t xml:space="preserve">are </w:t>
      </w:r>
      <w:r>
        <w:rPr>
          <w:b/>
          <w:bCs/>
        </w:rPr>
        <w:t xml:space="preserve">identical for </w:t>
      </w:r>
      <w:r w:rsidR="00EC36BF">
        <w:rPr>
          <w:b/>
          <w:bCs/>
        </w:rPr>
        <w:t>all three courses</w:t>
      </w:r>
      <w:r>
        <w:rPr>
          <w:b/>
          <w:bCs/>
        </w:rPr>
        <w:t xml:space="preserve">. </w:t>
      </w:r>
    </w:p>
    <w:p w14:paraId="7E51892C" w14:textId="118F4709" w:rsidR="00550573" w:rsidRPr="00550573" w:rsidRDefault="00550573" w:rsidP="00550573">
      <w:pPr>
        <w:pStyle w:val="ListParagraph"/>
        <w:numPr>
          <w:ilvl w:val="1"/>
          <w:numId w:val="1"/>
        </w:numPr>
      </w:pPr>
      <w:r>
        <w:rPr>
          <w:i/>
          <w:iCs/>
        </w:rPr>
        <w:t xml:space="preserve">The Subcommittee kindly reminds the department that, for Ukrainian 1103, the correct course number should be </w:t>
      </w:r>
      <w:r w:rsidR="00EC36BF">
        <w:rPr>
          <w:i/>
          <w:iCs/>
        </w:rPr>
        <w:t>used consistently throughout the syllabus</w:t>
      </w:r>
      <w:r>
        <w:rPr>
          <w:i/>
          <w:iCs/>
        </w:rPr>
        <w:t xml:space="preserve">. </w:t>
      </w:r>
      <w:r w:rsidR="00EC36BF">
        <w:rPr>
          <w:i/>
          <w:iCs/>
        </w:rPr>
        <w:t xml:space="preserve">Currently the syllabus for Ukrainian 1103 refers to the course number as 1103, 1101, and 5194 </w:t>
      </w:r>
      <w:r>
        <w:rPr>
          <w:i/>
          <w:iCs/>
        </w:rPr>
        <w:t>(page 1 of the syllabus)</w:t>
      </w:r>
      <w:r w:rsidR="00EC36BF">
        <w:rPr>
          <w:i/>
          <w:iCs/>
        </w:rPr>
        <w:t>.</w:t>
      </w:r>
    </w:p>
    <w:p w14:paraId="46ABC5E3" w14:textId="49275253" w:rsidR="00550573" w:rsidRPr="00550573" w:rsidRDefault="00550573" w:rsidP="00550573">
      <w:pPr>
        <w:pStyle w:val="ListParagraph"/>
        <w:numPr>
          <w:ilvl w:val="1"/>
          <w:numId w:val="1"/>
        </w:numPr>
      </w:pPr>
      <w:r>
        <w:rPr>
          <w:i/>
          <w:iCs/>
        </w:rPr>
        <w:t xml:space="preserve">The Subcommittee recommends that the course syllabi provide additional information in the course calendars regarding assignments (such as page numbers of the readings, activities expected to be completed, etc.). They find this information in course calendars is beneficial to students as they seek to plan their workload each week. </w:t>
      </w:r>
    </w:p>
    <w:p w14:paraId="59D5869E" w14:textId="748BDF8B" w:rsidR="00550573" w:rsidRDefault="00550573" w:rsidP="00550573">
      <w:pPr>
        <w:pStyle w:val="ListParagraph"/>
        <w:numPr>
          <w:ilvl w:val="1"/>
          <w:numId w:val="1"/>
        </w:numPr>
      </w:pPr>
      <w:r>
        <w:t xml:space="preserve">Troyan, Hedgecoth, </w:t>
      </w:r>
      <w:r>
        <w:rPr>
          <w:b/>
          <w:bCs/>
        </w:rPr>
        <w:t xml:space="preserve">unanimously approved </w:t>
      </w:r>
      <w:r>
        <w:t xml:space="preserve">with </w:t>
      </w:r>
      <w:r>
        <w:rPr>
          <w:b/>
          <w:bCs/>
        </w:rPr>
        <w:t xml:space="preserve">one contingency </w:t>
      </w:r>
      <w:r>
        <w:t xml:space="preserve">(in bold above) and </w:t>
      </w:r>
      <w:r>
        <w:rPr>
          <w:i/>
          <w:iCs/>
        </w:rPr>
        <w:t xml:space="preserve">two recommendations </w:t>
      </w:r>
      <w:r>
        <w:t xml:space="preserve">(in italics above) </w:t>
      </w:r>
    </w:p>
    <w:p w14:paraId="1EE9679C" w14:textId="4B036555" w:rsidR="00550573" w:rsidRDefault="00550573" w:rsidP="00550573">
      <w:pPr>
        <w:pStyle w:val="ListParagraph"/>
        <w:numPr>
          <w:ilvl w:val="0"/>
          <w:numId w:val="1"/>
        </w:numPr>
      </w:pPr>
      <w:r>
        <w:t xml:space="preserve">Ukrainian 2104 (new course) </w:t>
      </w:r>
    </w:p>
    <w:p w14:paraId="02E1931A" w14:textId="633FA6D8" w:rsidR="00550573" w:rsidRPr="00550573" w:rsidRDefault="00505481" w:rsidP="00550573">
      <w:pPr>
        <w:pStyle w:val="ListParagraph"/>
        <w:numPr>
          <w:ilvl w:val="1"/>
          <w:numId w:val="1"/>
        </w:numPr>
      </w:pPr>
      <w:r>
        <w:t>The</w:t>
      </w:r>
      <w:r w:rsidR="00EC36BF">
        <w:t xml:space="preserve"> </w:t>
      </w:r>
      <w:r>
        <w:t>“</w:t>
      </w:r>
      <w:r w:rsidR="00EC36BF">
        <w:t>Attendance</w:t>
      </w:r>
      <w:r>
        <w:t>”</w:t>
      </w:r>
      <w:r w:rsidR="00EC36BF">
        <w:t xml:space="preserve"> section </w:t>
      </w:r>
      <w:r>
        <w:t>(page 3) refers to three absences from 55-minute class sessions being equivalent to one week of class time</w:t>
      </w:r>
      <w:r w:rsidR="00550573">
        <w:t xml:space="preserve">. </w:t>
      </w:r>
      <w:r>
        <w:t xml:space="preserve">However, </w:t>
      </w:r>
      <w:r w:rsidR="00550573">
        <w:t>a 4-</w:t>
      </w:r>
      <w:r w:rsidR="00550573">
        <w:lastRenderedPageBreak/>
        <w:t xml:space="preserve">credit hour course </w:t>
      </w:r>
      <w:r>
        <w:t xml:space="preserve">scheduled for </w:t>
      </w:r>
      <w:r w:rsidR="00550573">
        <w:t>55-minute sessions</w:t>
      </w:r>
      <w:r>
        <w:t xml:space="preserve"> is expected to meet</w:t>
      </w:r>
      <w:r w:rsidR="00550573">
        <w:t xml:space="preserve"> </w:t>
      </w:r>
      <w:r>
        <w:t xml:space="preserve">four times per week, not three. </w:t>
      </w:r>
    </w:p>
    <w:p w14:paraId="2011B849" w14:textId="77180274" w:rsidR="00550573" w:rsidRPr="00550573" w:rsidRDefault="00550573" w:rsidP="00550573">
      <w:pPr>
        <w:pStyle w:val="ListParagraph"/>
        <w:numPr>
          <w:ilvl w:val="1"/>
          <w:numId w:val="1"/>
        </w:numPr>
      </w:pPr>
      <w:r>
        <w:rPr>
          <w:i/>
          <w:iCs/>
        </w:rPr>
        <w:t>The Subcommittee recommends that the course syllab</w:t>
      </w:r>
      <w:r w:rsidR="00FF0C29">
        <w:rPr>
          <w:i/>
          <w:iCs/>
        </w:rPr>
        <w:t>us</w:t>
      </w:r>
      <w:r>
        <w:rPr>
          <w:i/>
          <w:iCs/>
        </w:rPr>
        <w:t xml:space="preserve"> provide additional information in the course calendar regarding assignments (such as page numbers of the readings, activities expected to be completed, etc.). They find this information in course calendars is beneficial to students as they seek to plan their workload each week. </w:t>
      </w:r>
    </w:p>
    <w:p w14:paraId="05010C58" w14:textId="09C97FE3" w:rsidR="00550573" w:rsidRDefault="00550573" w:rsidP="00550573">
      <w:pPr>
        <w:pStyle w:val="ListParagraph"/>
        <w:numPr>
          <w:ilvl w:val="1"/>
          <w:numId w:val="1"/>
        </w:numPr>
      </w:pPr>
      <w:r>
        <w:t xml:space="preserve">Hedgecoth, Troyan, </w:t>
      </w:r>
      <w:r>
        <w:rPr>
          <w:b/>
          <w:bCs/>
        </w:rPr>
        <w:t xml:space="preserve">unanimously approved </w:t>
      </w:r>
      <w:r>
        <w:t xml:space="preserve">with one comment and </w:t>
      </w:r>
      <w:r>
        <w:rPr>
          <w:i/>
          <w:iCs/>
        </w:rPr>
        <w:t xml:space="preserve">one recommendation </w:t>
      </w:r>
      <w:r>
        <w:t xml:space="preserve">(in italics above) </w:t>
      </w:r>
    </w:p>
    <w:p w14:paraId="1FFD0230" w14:textId="1970FABA" w:rsidR="00550573" w:rsidRDefault="00550573" w:rsidP="00550573">
      <w:pPr>
        <w:pStyle w:val="ListParagraph"/>
        <w:numPr>
          <w:ilvl w:val="0"/>
          <w:numId w:val="1"/>
        </w:numPr>
      </w:pPr>
      <w:r>
        <w:t xml:space="preserve">Classics 2207 (new course) </w:t>
      </w:r>
    </w:p>
    <w:p w14:paraId="69319484" w14:textId="0A89A7D8" w:rsidR="00550573" w:rsidRDefault="00550573" w:rsidP="00550573">
      <w:pPr>
        <w:pStyle w:val="ListParagraph"/>
        <w:numPr>
          <w:ilvl w:val="1"/>
          <w:numId w:val="1"/>
        </w:numPr>
      </w:pPr>
      <w:r>
        <w:t xml:space="preserve">The Subcommittee noted that within curriculum.osu.edu, only the Columbus campus was </w:t>
      </w:r>
      <w:r w:rsidR="00505481">
        <w:t xml:space="preserve">selected in </w:t>
      </w:r>
      <w:r>
        <w:t xml:space="preserve">the campus-of-offering section. They </w:t>
      </w:r>
      <w:r w:rsidR="00505481">
        <w:t>encourage</w:t>
      </w:r>
      <w:r>
        <w:t xml:space="preserve"> the department </w:t>
      </w:r>
      <w:r w:rsidR="00505481">
        <w:t>to confirm this selection was intentional and that they have no plans</w:t>
      </w:r>
      <w:r>
        <w:t xml:space="preserve"> to offer this course at any of the regional campuses</w:t>
      </w:r>
      <w:r w:rsidR="00505481">
        <w:t xml:space="preserve"> in the future.</w:t>
      </w:r>
    </w:p>
    <w:p w14:paraId="6B65ABD1" w14:textId="67735BB2" w:rsidR="00550573" w:rsidRDefault="00487CD1" w:rsidP="00550573">
      <w:pPr>
        <w:pStyle w:val="ListParagraph"/>
        <w:numPr>
          <w:ilvl w:val="1"/>
          <w:numId w:val="1"/>
        </w:numPr>
      </w:pPr>
      <w:r>
        <w:t>When the course is taught, the</w:t>
      </w:r>
      <w:r w:rsidR="00550573">
        <w:t xml:space="preserve"> Subcommittee </w:t>
      </w:r>
      <w:r>
        <w:t>encourages the</w:t>
      </w:r>
      <w:r w:rsidR="00550573">
        <w:t xml:space="preserve"> department to </w:t>
      </w:r>
      <w:r>
        <w:t xml:space="preserve">revisit the </w:t>
      </w:r>
      <w:r w:rsidR="00550573">
        <w:t xml:space="preserve">information </w:t>
      </w:r>
      <w:r>
        <w:t xml:space="preserve">in </w:t>
      </w:r>
      <w:r w:rsidR="00550573">
        <w:t xml:space="preserve">the syllabus </w:t>
      </w:r>
      <w:r>
        <w:t xml:space="preserve">pertaining to </w:t>
      </w:r>
      <w:r w:rsidR="00550573">
        <w:t xml:space="preserve">the </w:t>
      </w:r>
      <w:r>
        <w:t>C</w:t>
      </w:r>
      <w:r w:rsidR="00550573">
        <w:t>ivics requirement (syllabus page 3)</w:t>
      </w:r>
      <w:r>
        <w:t xml:space="preserve">, confirming it is up-to-date and aligned with </w:t>
      </w:r>
      <w:proofErr w:type="gramStart"/>
      <w:r>
        <w:t>University</w:t>
      </w:r>
      <w:proofErr w:type="gramEnd"/>
      <w:r>
        <w:t xml:space="preserve"> policy at that time</w:t>
      </w:r>
      <w:r w:rsidR="00550573">
        <w:t xml:space="preserve">. </w:t>
      </w:r>
    </w:p>
    <w:p w14:paraId="46B7E9CC" w14:textId="37CDEE82" w:rsidR="00550573" w:rsidRPr="00550573" w:rsidRDefault="00550573" w:rsidP="00550573">
      <w:pPr>
        <w:pStyle w:val="ListParagraph"/>
        <w:numPr>
          <w:ilvl w:val="1"/>
          <w:numId w:val="1"/>
        </w:numPr>
      </w:pPr>
      <w:r>
        <w:rPr>
          <w:i/>
          <w:iCs/>
        </w:rPr>
        <w:t xml:space="preserve">The Subcommittee recommends updating the following syllabus statement (which can be found on the </w:t>
      </w:r>
      <w:hyperlink r:id="rId9" w:history="1">
        <w:r w:rsidRPr="00550573">
          <w:rPr>
            <w:rStyle w:val="Hyperlink"/>
            <w:i/>
            <w:iCs/>
          </w:rPr>
          <w:t>ASC Curriculum and Assessment Services website</w:t>
        </w:r>
      </w:hyperlink>
      <w:r>
        <w:rPr>
          <w:i/>
          <w:iCs/>
        </w:rPr>
        <w:t xml:space="preserve">): </w:t>
      </w:r>
    </w:p>
    <w:p w14:paraId="76C38AFC" w14:textId="59D5B566" w:rsidR="00550573" w:rsidRDefault="00550573" w:rsidP="00550573">
      <w:pPr>
        <w:pStyle w:val="ListParagraph"/>
        <w:numPr>
          <w:ilvl w:val="2"/>
          <w:numId w:val="1"/>
        </w:numPr>
      </w:pPr>
      <w:r>
        <w:rPr>
          <w:i/>
          <w:iCs/>
        </w:rPr>
        <w:t>Religious Accommodations (pages 9-10)</w:t>
      </w:r>
    </w:p>
    <w:p w14:paraId="550413C2" w14:textId="6642A6FE" w:rsidR="00550573" w:rsidRDefault="00550573" w:rsidP="00550573">
      <w:pPr>
        <w:pStyle w:val="ListParagraph"/>
        <w:numPr>
          <w:ilvl w:val="1"/>
          <w:numId w:val="1"/>
        </w:numPr>
      </w:pPr>
      <w:r>
        <w:t xml:space="preserve">Beecher, Hedgecoth, </w:t>
      </w:r>
      <w:r>
        <w:rPr>
          <w:b/>
          <w:bCs/>
        </w:rPr>
        <w:t xml:space="preserve">unanimously approved </w:t>
      </w:r>
      <w:r>
        <w:t xml:space="preserve">with two comments and </w:t>
      </w:r>
      <w:r>
        <w:rPr>
          <w:i/>
          <w:iCs/>
        </w:rPr>
        <w:t xml:space="preserve">one recommendation </w:t>
      </w:r>
      <w:r>
        <w:t xml:space="preserve">(in italics above) </w:t>
      </w:r>
    </w:p>
    <w:p w14:paraId="692C4290" w14:textId="74E71F74" w:rsidR="00550573" w:rsidRDefault="00550573" w:rsidP="00550573">
      <w:pPr>
        <w:pStyle w:val="ListParagraph"/>
        <w:numPr>
          <w:ilvl w:val="0"/>
          <w:numId w:val="1"/>
        </w:numPr>
      </w:pPr>
      <w:r>
        <w:t xml:space="preserve">Classics 3701 (new course requesting GEN Theme: Lived Environments) </w:t>
      </w:r>
    </w:p>
    <w:p w14:paraId="005B1D23" w14:textId="04542A2C" w:rsidR="00550573" w:rsidRPr="00550573" w:rsidRDefault="00550573" w:rsidP="00550573">
      <w:pPr>
        <w:pStyle w:val="ListParagraph"/>
        <w:numPr>
          <w:ilvl w:val="1"/>
          <w:numId w:val="1"/>
        </w:numPr>
      </w:pPr>
      <w:r>
        <w:rPr>
          <w:b/>
          <w:bCs/>
        </w:rPr>
        <w:t xml:space="preserve">The Subcommittee asks that the department seek concurrence with the Department of History of Art. The contact within the Department of History of Art is Kris Paulsen.20. </w:t>
      </w:r>
    </w:p>
    <w:p w14:paraId="2B65900B" w14:textId="23E6F093" w:rsidR="00550573" w:rsidRPr="00550573" w:rsidRDefault="00550573" w:rsidP="00550573">
      <w:pPr>
        <w:pStyle w:val="ListParagraph"/>
        <w:numPr>
          <w:ilvl w:val="1"/>
          <w:numId w:val="1"/>
        </w:numPr>
      </w:pPr>
      <w:r>
        <w:rPr>
          <w:i/>
          <w:iCs/>
        </w:rPr>
        <w:t xml:space="preserve">The Subcommittee recommends providing additional information on the </w:t>
      </w:r>
      <w:r w:rsidR="00C10C7A">
        <w:rPr>
          <w:i/>
          <w:iCs/>
        </w:rPr>
        <w:t xml:space="preserve">exciting </w:t>
      </w:r>
      <w:r>
        <w:rPr>
          <w:i/>
          <w:iCs/>
        </w:rPr>
        <w:t>digital scavenger hunt</w:t>
      </w:r>
      <w:r w:rsidR="00C10C7A">
        <w:rPr>
          <w:i/>
          <w:iCs/>
        </w:rPr>
        <w:t xml:space="preserve"> assignments (described in the “Writing Exercises” section), since they are </w:t>
      </w:r>
      <w:proofErr w:type="gramStart"/>
      <w:r w:rsidR="00C10C7A">
        <w:rPr>
          <w:i/>
          <w:iCs/>
        </w:rPr>
        <w:t>unconventional</w:t>
      </w:r>
      <w:proofErr w:type="gramEnd"/>
      <w:r w:rsidR="00C10C7A">
        <w:rPr>
          <w:i/>
          <w:iCs/>
        </w:rPr>
        <w:t xml:space="preserve"> and their scope and expectations were not clear. </w:t>
      </w:r>
      <w:r>
        <w:rPr>
          <w:i/>
          <w:iCs/>
        </w:rPr>
        <w:t xml:space="preserve"> </w:t>
      </w:r>
    </w:p>
    <w:p w14:paraId="7A50314C" w14:textId="114B51B5" w:rsidR="00550573" w:rsidRPr="00550573" w:rsidRDefault="00550573" w:rsidP="00550573">
      <w:pPr>
        <w:pStyle w:val="ListParagraph"/>
        <w:numPr>
          <w:ilvl w:val="1"/>
          <w:numId w:val="1"/>
        </w:numPr>
      </w:pPr>
      <w:r>
        <w:rPr>
          <w:i/>
          <w:iCs/>
        </w:rPr>
        <w:t xml:space="preserve">The Subcommittee recommends that the course instructor consider rearranging the due date of the course assignments towards the end of the course. </w:t>
      </w:r>
      <w:r w:rsidR="00C10C7A">
        <w:rPr>
          <w:i/>
          <w:iCs/>
        </w:rPr>
        <w:t>According to the</w:t>
      </w:r>
      <w:r>
        <w:rPr>
          <w:i/>
          <w:iCs/>
        </w:rPr>
        <w:t xml:space="preserve"> course calendar on page 12, students will be taking their</w:t>
      </w:r>
      <w:r w:rsidR="00C10C7A">
        <w:rPr>
          <w:i/>
          <w:iCs/>
        </w:rPr>
        <w:t xml:space="preserve"> second</w:t>
      </w:r>
      <w:r>
        <w:rPr>
          <w:i/>
          <w:iCs/>
        </w:rPr>
        <w:t xml:space="preserve"> midterm exam, conducting a peer review, and finishing their final paper all within approximately two weeks.</w:t>
      </w:r>
      <w:r w:rsidR="00370866">
        <w:rPr>
          <w:i/>
          <w:iCs/>
        </w:rPr>
        <w:t xml:space="preserve"> To lighten students’ workload </w:t>
      </w:r>
      <w:r w:rsidR="00370866">
        <w:rPr>
          <w:i/>
          <w:iCs/>
        </w:rPr>
        <w:lastRenderedPageBreak/>
        <w:t>in those final weeks and ensure each assignment receives adequate attention, t</w:t>
      </w:r>
      <w:r w:rsidR="00C10C7A">
        <w:rPr>
          <w:i/>
          <w:iCs/>
        </w:rPr>
        <w:t>he Subcommittee</w:t>
      </w:r>
      <w:r w:rsidR="00370866">
        <w:rPr>
          <w:i/>
          <w:iCs/>
        </w:rPr>
        <w:t xml:space="preserve"> suggests moving Midterm Exam 2 earlier in the semester, as well as spacing out the deadlines for the peer review and final paper, if possible.</w:t>
      </w:r>
    </w:p>
    <w:p w14:paraId="4C78556A" w14:textId="118A46AD" w:rsidR="00550573" w:rsidRPr="00550573" w:rsidRDefault="00550573" w:rsidP="00550573">
      <w:pPr>
        <w:pStyle w:val="ListParagraph"/>
        <w:numPr>
          <w:ilvl w:val="1"/>
          <w:numId w:val="1"/>
        </w:numPr>
      </w:pPr>
      <w:r>
        <w:rPr>
          <w:i/>
          <w:iCs/>
        </w:rPr>
        <w:t xml:space="preserve">The Subcommittee notes that on page 6 of the syllabus, there is mention </w:t>
      </w:r>
      <w:r w:rsidR="00447CA3">
        <w:rPr>
          <w:i/>
          <w:iCs/>
        </w:rPr>
        <w:t xml:space="preserve">of </w:t>
      </w:r>
      <w:r>
        <w:rPr>
          <w:i/>
          <w:iCs/>
        </w:rPr>
        <w:t xml:space="preserve">“the OSU grading scale”. Ohio State does not have an official or standardized grading scheme and instructors may select a grading scheme which best fits the needs of their individual courses. </w:t>
      </w:r>
    </w:p>
    <w:p w14:paraId="1188EA28" w14:textId="77777777" w:rsidR="00550573" w:rsidRPr="00550573" w:rsidRDefault="00550573" w:rsidP="00550573">
      <w:pPr>
        <w:pStyle w:val="ListParagraph"/>
        <w:numPr>
          <w:ilvl w:val="1"/>
          <w:numId w:val="1"/>
        </w:numPr>
      </w:pPr>
      <w:r>
        <w:rPr>
          <w:i/>
          <w:iCs/>
        </w:rPr>
        <w:t xml:space="preserve">The Subcommittee recommends updating the following syllabus statements (which can be found on the </w:t>
      </w:r>
      <w:hyperlink r:id="rId10" w:history="1">
        <w:r w:rsidRPr="00550573">
          <w:rPr>
            <w:rStyle w:val="Hyperlink"/>
            <w:i/>
            <w:iCs/>
          </w:rPr>
          <w:t>ASC Curriculum and Assessment Services website</w:t>
        </w:r>
      </w:hyperlink>
      <w:r>
        <w:rPr>
          <w:i/>
          <w:iCs/>
        </w:rPr>
        <w:t xml:space="preserve">): </w:t>
      </w:r>
    </w:p>
    <w:p w14:paraId="29CCDCA3" w14:textId="4B280AB7" w:rsidR="00550573" w:rsidRPr="00550573" w:rsidRDefault="00550573" w:rsidP="00550573">
      <w:pPr>
        <w:pStyle w:val="ListParagraph"/>
        <w:numPr>
          <w:ilvl w:val="2"/>
          <w:numId w:val="1"/>
        </w:numPr>
      </w:pPr>
      <w:r>
        <w:rPr>
          <w:i/>
          <w:iCs/>
        </w:rPr>
        <w:t xml:space="preserve">Diversity (pages 7-8) </w:t>
      </w:r>
    </w:p>
    <w:p w14:paraId="33392485" w14:textId="1781A47A" w:rsidR="00550573" w:rsidRPr="00550573" w:rsidRDefault="00550573" w:rsidP="00550573">
      <w:pPr>
        <w:pStyle w:val="ListParagraph"/>
        <w:numPr>
          <w:ilvl w:val="2"/>
          <w:numId w:val="1"/>
        </w:numPr>
      </w:pPr>
      <w:r>
        <w:rPr>
          <w:i/>
          <w:iCs/>
        </w:rPr>
        <w:t xml:space="preserve">Student Life – Disability Services (page 7) </w:t>
      </w:r>
    </w:p>
    <w:p w14:paraId="6BF64A35" w14:textId="5FDD62E6" w:rsidR="00550573" w:rsidRPr="00550573" w:rsidRDefault="00550573" w:rsidP="00550573">
      <w:pPr>
        <w:pStyle w:val="ListParagraph"/>
        <w:numPr>
          <w:ilvl w:val="2"/>
          <w:numId w:val="1"/>
        </w:numPr>
      </w:pPr>
      <w:r>
        <w:rPr>
          <w:i/>
          <w:iCs/>
        </w:rPr>
        <w:t>Religious Accommodations (pages 8-9)</w:t>
      </w:r>
    </w:p>
    <w:p w14:paraId="5601CFA5" w14:textId="2F3E0B6E" w:rsidR="00550573" w:rsidRPr="00550573" w:rsidRDefault="00550573" w:rsidP="00550573">
      <w:pPr>
        <w:pStyle w:val="ListParagraph"/>
        <w:numPr>
          <w:ilvl w:val="1"/>
          <w:numId w:val="1"/>
        </w:numPr>
      </w:pPr>
      <w:r>
        <w:t xml:space="preserve">Troyan, Beecher, </w:t>
      </w:r>
      <w:r>
        <w:rPr>
          <w:b/>
          <w:bCs/>
        </w:rPr>
        <w:t xml:space="preserve">unanimously approved </w:t>
      </w:r>
      <w:r>
        <w:t xml:space="preserve">with </w:t>
      </w:r>
      <w:r>
        <w:rPr>
          <w:b/>
          <w:bCs/>
        </w:rPr>
        <w:t xml:space="preserve">one contingency </w:t>
      </w:r>
      <w:r>
        <w:t xml:space="preserve">(in bold above) and </w:t>
      </w:r>
      <w:r>
        <w:rPr>
          <w:i/>
          <w:iCs/>
        </w:rPr>
        <w:t xml:space="preserve">four recommendations </w:t>
      </w:r>
      <w:r>
        <w:t xml:space="preserve">(in italics above) </w:t>
      </w:r>
    </w:p>
    <w:sectPr w:rsidR="00550573" w:rsidRPr="0055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C01F4"/>
    <w:multiLevelType w:val="hybridMultilevel"/>
    <w:tmpl w:val="4C50FD56"/>
    <w:lvl w:ilvl="0" w:tplc="19A41A5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99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73"/>
    <w:rsid w:val="002408CF"/>
    <w:rsid w:val="00370866"/>
    <w:rsid w:val="00447CA3"/>
    <w:rsid w:val="00487CD1"/>
    <w:rsid w:val="00505481"/>
    <w:rsid w:val="00550573"/>
    <w:rsid w:val="006D0FC8"/>
    <w:rsid w:val="007124DE"/>
    <w:rsid w:val="0076477D"/>
    <w:rsid w:val="00BA2C66"/>
    <w:rsid w:val="00C10C7A"/>
    <w:rsid w:val="00C614C5"/>
    <w:rsid w:val="00CC3150"/>
    <w:rsid w:val="00EC36BF"/>
    <w:rsid w:val="00ED2A8D"/>
    <w:rsid w:val="00FF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EC11"/>
  <w15:chartTrackingRefBased/>
  <w15:docId w15:val="{83A832B3-EC11-40E7-816E-FF0E5D1F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5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573"/>
    <w:rPr>
      <w:rFonts w:eastAsiaTheme="majorEastAsia" w:cstheme="majorBidi"/>
      <w:color w:val="272727" w:themeColor="text1" w:themeTint="D8"/>
    </w:rPr>
  </w:style>
  <w:style w:type="paragraph" w:styleId="Title">
    <w:name w:val="Title"/>
    <w:basedOn w:val="Normal"/>
    <w:next w:val="Normal"/>
    <w:link w:val="TitleChar"/>
    <w:uiPriority w:val="10"/>
    <w:qFormat/>
    <w:rsid w:val="00550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573"/>
    <w:pPr>
      <w:spacing w:before="160"/>
      <w:jc w:val="center"/>
    </w:pPr>
    <w:rPr>
      <w:i/>
      <w:iCs/>
      <w:color w:val="404040" w:themeColor="text1" w:themeTint="BF"/>
    </w:rPr>
  </w:style>
  <w:style w:type="character" w:customStyle="1" w:styleId="QuoteChar">
    <w:name w:val="Quote Char"/>
    <w:basedOn w:val="DefaultParagraphFont"/>
    <w:link w:val="Quote"/>
    <w:uiPriority w:val="29"/>
    <w:rsid w:val="00550573"/>
    <w:rPr>
      <w:i/>
      <w:iCs/>
      <w:color w:val="404040" w:themeColor="text1" w:themeTint="BF"/>
    </w:rPr>
  </w:style>
  <w:style w:type="paragraph" w:styleId="ListParagraph">
    <w:name w:val="List Paragraph"/>
    <w:basedOn w:val="Normal"/>
    <w:uiPriority w:val="34"/>
    <w:qFormat/>
    <w:rsid w:val="00550573"/>
    <w:pPr>
      <w:ind w:left="720"/>
      <w:contextualSpacing/>
    </w:pPr>
  </w:style>
  <w:style w:type="character" w:styleId="IntenseEmphasis">
    <w:name w:val="Intense Emphasis"/>
    <w:basedOn w:val="DefaultParagraphFont"/>
    <w:uiPriority w:val="21"/>
    <w:qFormat/>
    <w:rsid w:val="00550573"/>
    <w:rPr>
      <w:i/>
      <w:iCs/>
      <w:color w:val="0F4761" w:themeColor="accent1" w:themeShade="BF"/>
    </w:rPr>
  </w:style>
  <w:style w:type="paragraph" w:styleId="IntenseQuote">
    <w:name w:val="Intense Quote"/>
    <w:basedOn w:val="Normal"/>
    <w:next w:val="Normal"/>
    <w:link w:val="IntenseQuoteChar"/>
    <w:uiPriority w:val="30"/>
    <w:qFormat/>
    <w:rsid w:val="00550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573"/>
    <w:rPr>
      <w:i/>
      <w:iCs/>
      <w:color w:val="0F4761" w:themeColor="accent1" w:themeShade="BF"/>
    </w:rPr>
  </w:style>
  <w:style w:type="character" w:styleId="IntenseReference">
    <w:name w:val="Intense Reference"/>
    <w:basedOn w:val="DefaultParagraphFont"/>
    <w:uiPriority w:val="32"/>
    <w:qFormat/>
    <w:rsid w:val="00550573"/>
    <w:rPr>
      <w:b/>
      <w:bCs/>
      <w:smallCaps/>
      <w:color w:val="0F4761" w:themeColor="accent1" w:themeShade="BF"/>
      <w:spacing w:val="5"/>
    </w:rPr>
  </w:style>
  <w:style w:type="character" w:styleId="Hyperlink">
    <w:name w:val="Hyperlink"/>
    <w:basedOn w:val="DefaultParagraphFont"/>
    <w:uiPriority w:val="99"/>
    <w:unhideWhenUsed/>
    <w:rsid w:val="00550573"/>
    <w:rPr>
      <w:color w:val="467886" w:themeColor="hyperlink"/>
      <w:u w:val="single"/>
    </w:rPr>
  </w:style>
  <w:style w:type="character" w:styleId="UnresolvedMention">
    <w:name w:val="Unresolved Mention"/>
    <w:basedOn w:val="DefaultParagraphFont"/>
    <w:uiPriority w:val="99"/>
    <w:semiHidden/>
    <w:unhideWhenUsed/>
    <w:rsid w:val="00550573"/>
    <w:rPr>
      <w:color w:val="605E5C"/>
      <w:shd w:val="clear" w:color="auto" w:fill="E1DFDD"/>
    </w:rPr>
  </w:style>
  <w:style w:type="paragraph" w:styleId="Revision">
    <w:name w:val="Revision"/>
    <w:hidden/>
    <w:uiPriority w:val="99"/>
    <w:semiHidden/>
    <w:rsid w:val="00BA2C66"/>
    <w:pPr>
      <w:spacing w:after="0" w:line="240" w:lineRule="auto"/>
    </w:pPr>
  </w:style>
  <w:style w:type="character" w:styleId="CommentReference">
    <w:name w:val="annotation reference"/>
    <w:basedOn w:val="DefaultParagraphFont"/>
    <w:uiPriority w:val="99"/>
    <w:semiHidden/>
    <w:unhideWhenUsed/>
    <w:rsid w:val="00C614C5"/>
    <w:rPr>
      <w:sz w:val="16"/>
      <w:szCs w:val="16"/>
    </w:rPr>
  </w:style>
  <w:style w:type="paragraph" w:styleId="CommentText">
    <w:name w:val="annotation text"/>
    <w:basedOn w:val="Normal"/>
    <w:link w:val="CommentTextChar"/>
    <w:uiPriority w:val="99"/>
    <w:unhideWhenUsed/>
    <w:rsid w:val="00C614C5"/>
    <w:pPr>
      <w:spacing w:line="240" w:lineRule="auto"/>
    </w:pPr>
    <w:rPr>
      <w:sz w:val="20"/>
      <w:szCs w:val="20"/>
    </w:rPr>
  </w:style>
  <w:style w:type="character" w:customStyle="1" w:styleId="CommentTextChar">
    <w:name w:val="Comment Text Char"/>
    <w:basedOn w:val="DefaultParagraphFont"/>
    <w:link w:val="CommentText"/>
    <w:uiPriority w:val="99"/>
    <w:rsid w:val="00C614C5"/>
    <w:rPr>
      <w:sz w:val="20"/>
      <w:szCs w:val="20"/>
    </w:rPr>
  </w:style>
  <w:style w:type="paragraph" w:styleId="CommentSubject">
    <w:name w:val="annotation subject"/>
    <w:basedOn w:val="CommentText"/>
    <w:next w:val="CommentText"/>
    <w:link w:val="CommentSubjectChar"/>
    <w:uiPriority w:val="99"/>
    <w:semiHidden/>
    <w:unhideWhenUsed/>
    <w:rsid w:val="00C614C5"/>
    <w:rPr>
      <w:b/>
      <w:bCs/>
    </w:rPr>
  </w:style>
  <w:style w:type="character" w:customStyle="1" w:styleId="CommentSubjectChar">
    <w:name w:val="Comment Subject Char"/>
    <w:basedOn w:val="CommentTextChar"/>
    <w:link w:val="CommentSubject"/>
    <w:uiPriority w:val="99"/>
    <w:semiHidden/>
    <w:rsid w:val="00C61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works.osu.edu/land"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thworks.osu.edu/land" TargetMode="External"/><Relationship Id="rId11" Type="http://schemas.openxmlformats.org/officeDocument/2006/relationships/fontTable" Target="fontTable.xml"/><Relationship Id="rId5" Type="http://schemas.openxmlformats.org/officeDocument/2006/relationships/hyperlink" Target="https://asccas.osu.edu/submission/development/submission-materials/syllabus-element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1098</Words>
  <Characters>6349</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2025-05-14T12:54:00Z</dcterms:created>
  <dcterms:modified xsi:type="dcterms:W3CDTF">2025-05-14T12:54:00Z</dcterms:modified>
</cp:coreProperties>
</file>